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25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loves the color yellow!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is a counselor for bunk 84!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has a sibling at camp!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loves omanut! </w:t>
            </w:r>
          </w:p>
        </w:tc>
      </w:tr>
      <w:tr>
        <w:trPr>
          <w:trHeight w:val="2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is a camper in bunk 82!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is new to camp!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has a pet!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loves shira rikud!</w:t>
            </w:r>
          </w:p>
        </w:tc>
      </w:tr>
      <w:tr>
        <w:trPr>
          <w:trHeight w:val="2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has the same eye color as you!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loves chocolate ice cream!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has been to Israel!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plays basketball!</w:t>
            </w:r>
          </w:p>
        </w:tc>
      </w:tr>
      <w:tr>
        <w:trPr>
          <w:trHeight w:val="2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is wearing the color blue!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is excited for shabbat!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loves to swim!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is pumped to be at CAMP!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Comic Sans MS" w:cs="Comic Sans MS" w:eastAsia="Comic Sans MS" w:hAnsi="Comic Sans MS"/>
        <w:sz w:val="60"/>
        <w:szCs w:val="60"/>
        <w:rtl w:val="0"/>
      </w:rPr>
      <w:t xml:space="preserve">FIND SOMEONE WHO...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