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Possible Song Sessions in No Particular Order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Capo 4 D Song Sesh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Ata Takum Niggun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V’ahavta (Warshawsky)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Bah Hashalom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Hashem Melekh (G)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Kol B’Ramah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Em Song Sesh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Adamah V’Shamayim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Ana El Na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Eileh Chamda Libi (Aronson)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V’ahavta (Yeshiva Boys Choir)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Capo 2 D Song Sesh 1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Od Yavo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Ivdu/Hinei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Ameh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V’ahavta (Warshawsky)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Shiru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Capo 2 D Song Sesh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Od Yavo Shalom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Ameh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V’Ahavta (Warshawsky)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(Pauker)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Kol B’Ramah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Capo 2 D Song Session 3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Heiveinu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Ameh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V’ahavta (Warshawsky)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Hoshia (Nichols)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Nana Song (Nichols)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Mostly Major Song Sesh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Im Tirtzu (D)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Nana Song (D)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Gesher Tzar Me’od (Am)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Shiru (D)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Oseh Shalom (Ochs) (G)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Israeli Song Sesh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Hoshia (Nichols)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Adama V’Shamayim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Ivdu (Yonatan Razel)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Bah Hashalom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Yachad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Hinei Mah Tov Song Session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(Traditional)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(Allard)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(Pauker)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(the one that mashes with Ivdu and Free Willy Theme)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(In The Jungle)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Heiveinu Shalom/Hinei Mah Tov (Feingold)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Hinei (Snake)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rtl w:val="0"/>
        </w:rPr>
        <w:t xml:space="preserve">Oseh Shalom Song Session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Oseh Shalom (Sykes)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Oseh Shalom (Carlebach)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Oseh Shalom (Debbie Friedman)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  <w:t xml:space="preserve">Oseh Shalom (Ochs)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